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Ideas from Participants </w:t>
      </w:r>
    </w:p>
    <w:p w14:paraId="00000002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left="5" w:right="576" w:firstLine="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During the June 30 PIPELINES webinar on tools and strategies for the Child, Family, and </w:t>
      </w:r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Community  course</w:t>
      </w:r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participants shared ideas in the chat. These have been transcribed below. </w:t>
      </w:r>
    </w:p>
    <w:p w14:paraId="00000003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Prompt: What are ways in which you support your students to learn about family diversity? </w:t>
      </w:r>
    </w:p>
    <w:p w14:paraId="00000004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1079" w:firstLine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Heather Hammond-Williams: We have students interview a family who is different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then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themselves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05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Jody Johnson: Pregnancy &amp; Childbirth Interview </w:t>
      </w:r>
    </w:p>
    <w:p w14:paraId="00000006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3" w:lineRule="auto"/>
        <w:ind w:left="6" w:right="1063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Heather Hammond-Williams: We have a Teacher Interview that that have to interview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elementary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school teacher. </w:t>
      </w:r>
    </w:p>
    <w:p w14:paraId="00000007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3" w:lineRule="auto"/>
        <w:ind w:left="4" w:right="566" w:firstLine="12"/>
        <w:rPr>
          <w:rFonts w:ascii="Calibri" w:eastAsia="Calibri" w:hAnsi="Calibri" w:cs="Calibri"/>
          <w:b/>
          <w:color w:val="0563C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Donna Cecil: I use Cindy Stephens assignment in the CAP8 Modules with some edits for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the  student’s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final assignment. It is an interview with a family and then an analysis of that interview. </w:t>
      </w:r>
      <w:r>
        <w:rPr>
          <w:rFonts w:ascii="Calibri" w:eastAsia="Calibri" w:hAnsi="Calibri" w:cs="Calibri"/>
          <w:b/>
          <w:color w:val="0563C1"/>
        </w:rPr>
        <w:t xml:space="preserve">https://asccc-oeri.org/open-educational-resources-and-cdev-ece-child-development-and-early-childhood education/  </w:t>
      </w:r>
    </w:p>
    <w:p w14:paraId="00000008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3" w:lineRule="auto"/>
        <w:ind w:left="5" w:right="321" w:firstLine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Nadiyah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Similar to Heather, students interview a family and then the students work during the  semester to identify the family’s parenting style, cultural strengths, etc. </w:t>
      </w:r>
    </w:p>
    <w:p w14:paraId="00000009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3" w:lineRule="auto"/>
        <w:ind w:left="14" w:right="283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Heather Hammond-Williams: We have a paper that the students have to either attend 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school  board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meeting or watch a school board meeting and write a paper on a topic that focuses on children. </w:t>
      </w:r>
    </w:p>
    <w:p w14:paraId="0000000A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4" w:lineRule="auto"/>
        <w:ind w:firstLine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Dr. D. Preciado: We look at different types of families and parenting styles. We review 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persona  that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helps students identify how easy it is to make assumptions about a child and/or family based on our  personal bias. We explore options for what steps we can take to avoiding making assumptions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about  families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0B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3" w:lineRule="auto"/>
        <w:ind w:right="62" w:firstLine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Heather Hammond-Williams: Students have to pick a research topic on a topic reflective in class  topics and have to find 5 empirical articles in which they write a summary on the articles, then find 2  local agencies to support this topic, and provide an oral presentation on their topic (this is a small group  assignment if on campus class or individual on online- unless want to complete as small group or  individual. </w:t>
      </w:r>
    </w:p>
    <w:p w14:paraId="0000000C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4" w:lineRule="auto"/>
        <w:ind w:right="117" w:firstLine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Cindy Stephens: I have the students choose one of the families that I have developed, and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they  develop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ways to work with that family. It is a semester long project where they create a welcome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letter,  their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philosophy of working with children and families, resources for that family- parenting books,  children's books, articles, community resources, they also add to the family and include some of the  opportunities and possibilities for working with the family. </w:t>
      </w:r>
    </w:p>
    <w:p w14:paraId="0000000D" w14:textId="77777777" w:rsidR="00A21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3" w:lineRule="auto"/>
        <w:ind w:left="6" w:right="159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Becky Roth: I have students interview a family, use role play, and have them define family at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the  beginning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of the class. Students introduce themselves to the class by creating a family collage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that 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represents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what family means to them. They write their definition of family on the back of the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collage,  and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we hang them up and then revisit it at the end of the class.</w:t>
      </w:r>
    </w:p>
    <w:sectPr w:rsidR="00A21821">
      <w:pgSz w:w="12240" w:h="15840"/>
      <w:pgMar w:top="993" w:right="1026" w:bottom="2736" w:left="10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21"/>
    <w:rsid w:val="00466024"/>
    <w:rsid w:val="00A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E44E55E-BEEE-F34F-BE9D-FE718CBA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Hall</cp:lastModifiedBy>
  <cp:revision>2</cp:revision>
  <dcterms:created xsi:type="dcterms:W3CDTF">2023-08-05T15:19:00Z</dcterms:created>
  <dcterms:modified xsi:type="dcterms:W3CDTF">2023-08-05T15:19:00Z</dcterms:modified>
</cp:coreProperties>
</file>